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6F" w:rsidRPr="00CB7F6F" w:rsidRDefault="00CB7F6F" w:rsidP="00CB7F6F">
      <w:pPr>
        <w:rPr>
          <w:rFonts w:cs="Arial"/>
          <w:b/>
        </w:rPr>
      </w:pPr>
      <w:r w:rsidRPr="00CB7F6F">
        <w:rPr>
          <w:rFonts w:cs="Arial"/>
          <w:b/>
        </w:rPr>
        <w:t xml:space="preserve">Abatement of Pensions </w:t>
      </w:r>
    </w:p>
    <w:p w:rsidR="00CB7F6F" w:rsidRPr="00CB7F6F" w:rsidRDefault="00CB7F6F" w:rsidP="00CB7F6F">
      <w:pPr>
        <w:rPr>
          <w:rFonts w:cs="Arial"/>
          <w:b/>
        </w:rPr>
      </w:pPr>
    </w:p>
    <w:p w:rsidR="00CB7F6F" w:rsidRPr="00CB7F6F" w:rsidRDefault="00CB7F6F" w:rsidP="00CB7F6F">
      <w:pPr>
        <w:rPr>
          <w:rFonts w:cs="Arial"/>
        </w:rPr>
      </w:pPr>
      <w:r w:rsidRPr="00CB7F6F">
        <w:rPr>
          <w:rFonts w:cs="Arial"/>
        </w:rPr>
        <w:t xml:space="preserve">The Local Government Pension Scheme (LGPS) regulations allow an Administering Authority (AA) a broad discretion to abate (reduce) any pension in payment where a pensioner obtains further employment with any LGPS employer. </w:t>
      </w:r>
    </w:p>
    <w:p w:rsidR="00CB7F6F" w:rsidRPr="00CB7F6F" w:rsidRDefault="00CB7F6F" w:rsidP="00CB7F6F">
      <w:pPr>
        <w:rPr>
          <w:rFonts w:cs="Arial"/>
        </w:rPr>
      </w:pPr>
    </w:p>
    <w:p w:rsidR="00CB7F6F" w:rsidRPr="00CB7F6F" w:rsidRDefault="00CB7F6F" w:rsidP="00CB7F6F">
      <w:pPr>
        <w:rPr>
          <w:rFonts w:cs="Arial"/>
        </w:rPr>
      </w:pPr>
      <w:r w:rsidRPr="00CB7F6F">
        <w:rPr>
          <w:rFonts w:cs="Arial"/>
        </w:rPr>
        <w:t>The AA has the discretion to reduce a pension such that the salary in the new employment plus the pension in payment does not exceed the salary the member earned prior to receiving a pension. Any such discretionary abatement ceases when the LGPS employment ends.</w:t>
      </w:r>
    </w:p>
    <w:p w:rsidR="00CB7F6F" w:rsidRPr="00CB7F6F" w:rsidRDefault="00CB7F6F" w:rsidP="00CB7F6F">
      <w:pPr>
        <w:rPr>
          <w:rFonts w:cs="Arial"/>
        </w:rPr>
      </w:pPr>
    </w:p>
    <w:p w:rsidR="00CB7F6F" w:rsidRPr="00CB7F6F" w:rsidRDefault="00CB7F6F" w:rsidP="00CB7F6F">
      <w:pPr>
        <w:rPr>
          <w:rFonts w:cs="Arial"/>
        </w:rPr>
      </w:pPr>
      <w:r w:rsidRPr="00CB7F6F">
        <w:rPr>
          <w:rFonts w:cs="Arial"/>
        </w:rPr>
        <w:t xml:space="preserve">However, it should be noted that there is </w:t>
      </w:r>
      <w:r w:rsidRPr="00CB7F6F">
        <w:rPr>
          <w:rFonts w:cs="Arial"/>
          <w:b/>
        </w:rPr>
        <w:t xml:space="preserve">no </w:t>
      </w:r>
      <w:r w:rsidRPr="00CB7F6F">
        <w:rPr>
          <w:rFonts w:cs="Arial"/>
        </w:rPr>
        <w:t xml:space="preserve">discretion to abate a pension awarded under a flexible retirement agreement where the member is still in the same employment to which the flexible retirement relates.  </w:t>
      </w:r>
    </w:p>
    <w:p w:rsidR="00CB7F6F" w:rsidRPr="00CB7F6F" w:rsidRDefault="00CB7F6F" w:rsidP="00CB7F6F">
      <w:pPr>
        <w:rPr>
          <w:rFonts w:cs="Arial"/>
          <w:b/>
        </w:rPr>
      </w:pPr>
    </w:p>
    <w:p w:rsidR="00CB7F6F" w:rsidRPr="00CB7F6F" w:rsidRDefault="00CB7F6F" w:rsidP="00CB7F6F">
      <w:pPr>
        <w:rPr>
          <w:rFonts w:cs="Arial"/>
          <w:b/>
        </w:rPr>
      </w:pPr>
      <w:r w:rsidRPr="00CB7F6F">
        <w:rPr>
          <w:rFonts w:cs="Arial"/>
          <w:b/>
        </w:rPr>
        <w:t>Current Policy and Practice</w:t>
      </w:r>
    </w:p>
    <w:p w:rsidR="00CB7F6F" w:rsidRPr="00CB7F6F" w:rsidRDefault="00CB7F6F" w:rsidP="00CB7F6F">
      <w:pPr>
        <w:rPr>
          <w:rFonts w:cs="Arial"/>
          <w:b/>
        </w:rPr>
      </w:pPr>
    </w:p>
    <w:p w:rsidR="00CB7F6F" w:rsidRPr="00CB7F6F" w:rsidRDefault="00CB7F6F" w:rsidP="00CB7F6F">
      <w:pPr>
        <w:rPr>
          <w:rFonts w:cs="Arial"/>
        </w:rPr>
      </w:pPr>
      <w:r w:rsidRPr="00CB7F6F">
        <w:rPr>
          <w:rFonts w:cs="Arial"/>
        </w:rPr>
        <w:t xml:space="preserve">The current policy applies abatement where it is required by statute to do so and in respect of ill-health retirements. The table below sets out current practice: </w:t>
      </w:r>
    </w:p>
    <w:p w:rsidR="00CB7F6F" w:rsidRPr="00CB7F6F" w:rsidRDefault="00CB7F6F" w:rsidP="00CB7F6F">
      <w:pPr>
        <w:rPr>
          <w:rFonts w:cs="Arial"/>
        </w:rPr>
      </w:pPr>
    </w:p>
    <w:tbl>
      <w:tblPr>
        <w:tblW w:w="9247" w:type="dxa"/>
        <w:tblInd w:w="-5" w:type="dxa"/>
        <w:tblLook w:val="04A0" w:firstRow="1" w:lastRow="0" w:firstColumn="1" w:lastColumn="0" w:noHBand="0" w:noVBand="1"/>
      </w:tblPr>
      <w:tblGrid>
        <w:gridCol w:w="4082"/>
        <w:gridCol w:w="1588"/>
        <w:gridCol w:w="1843"/>
        <w:gridCol w:w="1734"/>
      </w:tblGrid>
      <w:tr w:rsidR="00CB7F6F" w:rsidRPr="00CB7F6F" w:rsidTr="00CB7F6F">
        <w:trPr>
          <w:trHeight w:val="300"/>
        </w:trPr>
        <w:tc>
          <w:tcPr>
            <w:tcW w:w="4082" w:type="dxa"/>
            <w:tcBorders>
              <w:top w:val="single" w:sz="4" w:space="0" w:color="auto"/>
              <w:left w:val="single" w:sz="4" w:space="0" w:color="auto"/>
              <w:bottom w:val="single" w:sz="4" w:space="0" w:color="auto"/>
              <w:right w:val="single" w:sz="4" w:space="0" w:color="auto"/>
            </w:tcBorders>
            <w:noWrap/>
            <w:vAlign w:val="bottom"/>
            <w:hideMark/>
          </w:tcPr>
          <w:p w:rsidR="00CB7F6F" w:rsidRPr="00CB7F6F" w:rsidRDefault="00CB7F6F">
            <w:pPr>
              <w:rPr>
                <w:rFonts w:cs="Arial"/>
                <w:b/>
                <w:bCs/>
                <w:color w:val="000000"/>
              </w:rPr>
            </w:pPr>
            <w:r w:rsidRPr="00CB7F6F">
              <w:rPr>
                <w:rFonts w:cs="Arial"/>
                <w:b/>
                <w:bCs/>
                <w:color w:val="000000"/>
              </w:rPr>
              <w:t xml:space="preserve">Retirement Type </w:t>
            </w:r>
          </w:p>
        </w:tc>
        <w:tc>
          <w:tcPr>
            <w:tcW w:w="1588" w:type="dxa"/>
            <w:tcBorders>
              <w:top w:val="single" w:sz="4" w:space="0" w:color="auto"/>
              <w:left w:val="nil"/>
              <w:bottom w:val="single" w:sz="4" w:space="0" w:color="auto"/>
              <w:right w:val="single" w:sz="4" w:space="0" w:color="auto"/>
            </w:tcBorders>
            <w:noWrap/>
            <w:vAlign w:val="bottom"/>
            <w:hideMark/>
          </w:tcPr>
          <w:p w:rsidR="00CB7F6F" w:rsidRPr="00CB7F6F" w:rsidRDefault="00CB7F6F">
            <w:pPr>
              <w:rPr>
                <w:rFonts w:cs="Arial"/>
                <w:b/>
                <w:bCs/>
                <w:color w:val="000000"/>
              </w:rPr>
            </w:pPr>
            <w:r w:rsidRPr="00CB7F6F">
              <w:rPr>
                <w:rFonts w:cs="Arial"/>
                <w:b/>
                <w:bCs/>
                <w:color w:val="000000"/>
              </w:rPr>
              <w:t xml:space="preserve">Statutory Abatement    </w:t>
            </w:r>
          </w:p>
        </w:tc>
        <w:tc>
          <w:tcPr>
            <w:tcW w:w="1843" w:type="dxa"/>
            <w:tcBorders>
              <w:top w:val="single" w:sz="4" w:space="0" w:color="auto"/>
              <w:left w:val="nil"/>
              <w:bottom w:val="single" w:sz="4" w:space="0" w:color="auto"/>
              <w:right w:val="single" w:sz="4" w:space="0" w:color="auto"/>
            </w:tcBorders>
            <w:noWrap/>
            <w:vAlign w:val="bottom"/>
            <w:hideMark/>
          </w:tcPr>
          <w:p w:rsidR="00CB7F6F" w:rsidRPr="00CB7F6F" w:rsidRDefault="00CB7F6F">
            <w:pPr>
              <w:rPr>
                <w:rFonts w:cs="Arial"/>
                <w:b/>
                <w:bCs/>
                <w:color w:val="000000"/>
              </w:rPr>
            </w:pPr>
            <w:r w:rsidRPr="00CB7F6F">
              <w:rPr>
                <w:rFonts w:cs="Arial"/>
                <w:b/>
                <w:bCs/>
                <w:color w:val="000000"/>
              </w:rPr>
              <w:t xml:space="preserve">Discretionary Abatement  </w:t>
            </w:r>
          </w:p>
        </w:tc>
        <w:tc>
          <w:tcPr>
            <w:tcW w:w="1734" w:type="dxa"/>
            <w:tcBorders>
              <w:top w:val="single" w:sz="4" w:space="0" w:color="auto"/>
              <w:left w:val="nil"/>
              <w:bottom w:val="single" w:sz="4" w:space="0" w:color="auto"/>
              <w:right w:val="single" w:sz="4" w:space="0" w:color="auto"/>
            </w:tcBorders>
            <w:hideMark/>
          </w:tcPr>
          <w:p w:rsidR="00CB7F6F" w:rsidRPr="00CB7F6F" w:rsidRDefault="00CB7F6F">
            <w:pPr>
              <w:rPr>
                <w:rFonts w:cs="Arial"/>
                <w:b/>
                <w:bCs/>
                <w:color w:val="000000"/>
              </w:rPr>
            </w:pPr>
            <w:r w:rsidRPr="00CB7F6F">
              <w:rPr>
                <w:rFonts w:cs="Arial"/>
                <w:b/>
                <w:bCs/>
                <w:color w:val="000000"/>
              </w:rPr>
              <w:t xml:space="preserve">LCPF current   Practice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Ill Health retirement (benefits are normally enhanced/reductions are waived)     </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hideMark/>
          </w:tcPr>
          <w:p w:rsidR="00CB7F6F" w:rsidRPr="00CB7F6F" w:rsidRDefault="00CB7F6F">
            <w:pPr>
              <w:rPr>
                <w:rFonts w:cs="Arial"/>
                <w:color w:val="000000"/>
              </w:rPr>
            </w:pPr>
            <w:r w:rsidRPr="00CB7F6F">
              <w:rPr>
                <w:rFonts w:cs="Arial"/>
                <w:color w:val="000000"/>
              </w:rPr>
              <w:t>Abatement applied</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Redundancy/efficiency retirement with compensatory added years*  </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Yes** </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Abatement applied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Redundancy/efficiency retirement  (reductions are waived) </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 xml:space="preserve">No abatement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Retirement Augmented by employer</w:t>
            </w:r>
          </w:p>
          <w:p w:rsidR="00CB7F6F" w:rsidRPr="00CB7F6F" w:rsidRDefault="00CB7F6F">
            <w:pPr>
              <w:rPr>
                <w:rFonts w:cs="Arial"/>
                <w:color w:val="000000"/>
              </w:rPr>
            </w:pPr>
            <w:r w:rsidRPr="00CB7F6F">
              <w:rPr>
                <w:rFonts w:cs="Arial"/>
                <w:color w:val="000000"/>
              </w:rPr>
              <w:t>(additional pension/service awarded)</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 xml:space="preserve">No abatement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Early retirement where reductions waived  by employer</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 xml:space="preserve">No abatement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Early retirement where reductions not waived </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 xml:space="preserve">No abatement </w:t>
            </w:r>
          </w:p>
        </w:tc>
      </w:tr>
      <w:tr w:rsidR="00CB7F6F" w:rsidRPr="00CB7F6F" w:rsidTr="00CB7F6F">
        <w:trPr>
          <w:trHeight w:val="300"/>
        </w:trPr>
        <w:tc>
          <w:tcPr>
            <w:tcW w:w="4082" w:type="dxa"/>
            <w:tcBorders>
              <w:top w:val="nil"/>
              <w:left w:val="single" w:sz="4" w:space="0" w:color="auto"/>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 xml:space="preserve">Normal Retirement (No reductions. Paid at State Pension Age or protected earliest </w:t>
            </w:r>
            <w:proofErr w:type="spellStart"/>
            <w:r w:rsidRPr="00CB7F6F">
              <w:rPr>
                <w:rFonts w:cs="Arial"/>
                <w:color w:val="000000"/>
              </w:rPr>
              <w:t>reitirement</w:t>
            </w:r>
            <w:proofErr w:type="spellEnd"/>
            <w:r w:rsidRPr="00CB7F6F">
              <w:rPr>
                <w:rFonts w:cs="Arial"/>
                <w:color w:val="000000"/>
              </w:rPr>
              <w:t xml:space="preserve"> age) </w:t>
            </w:r>
          </w:p>
        </w:tc>
        <w:tc>
          <w:tcPr>
            <w:tcW w:w="1588"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No</w:t>
            </w:r>
          </w:p>
        </w:tc>
        <w:tc>
          <w:tcPr>
            <w:tcW w:w="1843" w:type="dxa"/>
            <w:tcBorders>
              <w:top w:val="nil"/>
              <w:left w:val="nil"/>
              <w:bottom w:val="single" w:sz="4" w:space="0" w:color="auto"/>
              <w:right w:val="single" w:sz="4" w:space="0" w:color="auto"/>
            </w:tcBorders>
            <w:noWrap/>
            <w:vAlign w:val="bottom"/>
            <w:hideMark/>
          </w:tcPr>
          <w:p w:rsidR="00CB7F6F" w:rsidRPr="00CB7F6F" w:rsidRDefault="00CB7F6F">
            <w:pPr>
              <w:rPr>
                <w:rFonts w:cs="Arial"/>
                <w:color w:val="000000"/>
              </w:rPr>
            </w:pPr>
            <w:r w:rsidRPr="00CB7F6F">
              <w:rPr>
                <w:rFonts w:cs="Arial"/>
                <w:color w:val="000000"/>
              </w:rPr>
              <w:t>Yes</w:t>
            </w:r>
          </w:p>
        </w:tc>
        <w:tc>
          <w:tcPr>
            <w:tcW w:w="1734" w:type="dxa"/>
            <w:tcBorders>
              <w:top w:val="nil"/>
              <w:left w:val="nil"/>
              <w:bottom w:val="single" w:sz="4" w:space="0" w:color="auto"/>
              <w:right w:val="single" w:sz="4" w:space="0" w:color="auto"/>
            </w:tcBorders>
          </w:tcPr>
          <w:p w:rsidR="00CB7F6F" w:rsidRPr="00CB7F6F" w:rsidRDefault="00CB7F6F">
            <w:pPr>
              <w:rPr>
                <w:rFonts w:cs="Arial"/>
                <w:color w:val="000000"/>
              </w:rPr>
            </w:pPr>
          </w:p>
          <w:p w:rsidR="00CB7F6F" w:rsidRPr="00CB7F6F" w:rsidRDefault="00CB7F6F">
            <w:pPr>
              <w:rPr>
                <w:rFonts w:cs="Arial"/>
                <w:color w:val="000000"/>
              </w:rPr>
            </w:pPr>
            <w:r w:rsidRPr="00CB7F6F">
              <w:rPr>
                <w:rFonts w:cs="Arial"/>
                <w:color w:val="000000"/>
              </w:rPr>
              <w:t xml:space="preserve">No abatement </w:t>
            </w:r>
          </w:p>
        </w:tc>
      </w:tr>
    </w:tbl>
    <w:p w:rsidR="00CB7F6F" w:rsidRDefault="00CB7F6F" w:rsidP="00CB7F6F">
      <w:pPr>
        <w:rPr>
          <w:rFonts w:cs="Arial"/>
          <w:color w:val="000000"/>
        </w:rPr>
      </w:pPr>
    </w:p>
    <w:p w:rsidR="00CB7F6F" w:rsidRPr="00CB7F6F" w:rsidRDefault="00CB7F6F" w:rsidP="00CB7F6F">
      <w:pPr>
        <w:rPr>
          <w:rFonts w:cs="Arial"/>
          <w:color w:val="000000"/>
        </w:rPr>
      </w:pPr>
      <w:r w:rsidRPr="00CB7F6F">
        <w:rPr>
          <w:rFonts w:cs="Arial"/>
          <w:color w:val="000000"/>
        </w:rPr>
        <w:t xml:space="preserve">*Compensatory added years are an historic benefit and are no longer applied </w:t>
      </w:r>
    </w:p>
    <w:p w:rsidR="00CB7F6F" w:rsidRPr="00CB7F6F" w:rsidRDefault="00CB7F6F" w:rsidP="00CB7F6F">
      <w:pPr>
        <w:rPr>
          <w:rFonts w:cs="Arial"/>
          <w:b/>
        </w:rPr>
      </w:pPr>
      <w:r w:rsidRPr="00CB7F6F">
        <w:rPr>
          <w:rFonts w:cs="Arial"/>
          <w:color w:val="000000"/>
        </w:rPr>
        <w:t xml:space="preserve">**Only the added </w:t>
      </w:r>
      <w:proofErr w:type="gramStart"/>
      <w:r w:rsidRPr="00CB7F6F">
        <w:rPr>
          <w:rFonts w:cs="Arial"/>
          <w:color w:val="000000"/>
        </w:rPr>
        <w:t>years</w:t>
      </w:r>
      <w:proofErr w:type="gramEnd"/>
      <w:r w:rsidRPr="00CB7F6F">
        <w:rPr>
          <w:rFonts w:cs="Arial"/>
          <w:color w:val="000000"/>
        </w:rPr>
        <w:t xml:space="preserve"> element is abated   </w:t>
      </w:r>
    </w:p>
    <w:p w:rsidR="00CB7F6F" w:rsidRPr="00CB7F6F" w:rsidRDefault="00CB7F6F" w:rsidP="00CB7F6F">
      <w:pPr>
        <w:rPr>
          <w:rFonts w:cs="Arial"/>
          <w:b/>
        </w:rPr>
      </w:pPr>
    </w:p>
    <w:p w:rsidR="00CB7F6F" w:rsidRPr="00CB7F6F" w:rsidRDefault="00CB7F6F" w:rsidP="00CB7F6F">
      <w:pPr>
        <w:rPr>
          <w:rFonts w:cs="Arial"/>
          <w:b/>
        </w:rPr>
      </w:pPr>
    </w:p>
    <w:p w:rsidR="00CB7F6F" w:rsidRPr="00CB7F6F" w:rsidRDefault="00CB7F6F" w:rsidP="00CB7F6F">
      <w:pPr>
        <w:rPr>
          <w:rFonts w:cs="Arial"/>
          <w:b/>
        </w:rPr>
      </w:pPr>
    </w:p>
    <w:p w:rsidR="00CB7F6F" w:rsidRPr="00CB7F6F" w:rsidRDefault="00CB7F6F" w:rsidP="00CB7F6F">
      <w:pPr>
        <w:rPr>
          <w:rFonts w:cs="Arial"/>
          <w:b/>
        </w:rPr>
      </w:pPr>
    </w:p>
    <w:p w:rsidR="00CB7F6F" w:rsidRPr="00CB7F6F" w:rsidRDefault="00CB7F6F" w:rsidP="00CB7F6F">
      <w:pPr>
        <w:rPr>
          <w:rFonts w:cs="Arial"/>
          <w:b/>
        </w:rPr>
      </w:pPr>
      <w:r w:rsidRPr="00CB7F6F">
        <w:rPr>
          <w:rFonts w:cs="Arial"/>
          <w:b/>
        </w:rPr>
        <w:lastRenderedPageBreak/>
        <w:t xml:space="preserve">Potential Change </w:t>
      </w:r>
    </w:p>
    <w:p w:rsidR="00CB7F6F" w:rsidRPr="00CB7F6F" w:rsidRDefault="00CB7F6F" w:rsidP="00CB7F6F">
      <w:pPr>
        <w:rPr>
          <w:rFonts w:cs="Arial"/>
        </w:rPr>
      </w:pPr>
    </w:p>
    <w:p w:rsidR="00CB7F6F" w:rsidRPr="00CB7F6F" w:rsidRDefault="00CB7F6F" w:rsidP="00CB7F6F">
      <w:pPr>
        <w:rPr>
          <w:rFonts w:cs="Arial"/>
        </w:rPr>
      </w:pPr>
      <w:r w:rsidRPr="00CB7F6F">
        <w:rPr>
          <w:rFonts w:cs="Arial"/>
        </w:rPr>
        <w:t xml:space="preserve">The Fund pays out around £185m in pensions each year to more than 43,000 pensioners and dependants. At the last actuarial valuation the average annual pension in payment was £4,510. </w:t>
      </w:r>
    </w:p>
    <w:p w:rsidR="00CB7F6F" w:rsidRPr="00CB7F6F" w:rsidRDefault="00CB7F6F" w:rsidP="00CB7F6F">
      <w:pPr>
        <w:rPr>
          <w:rFonts w:cs="Arial"/>
        </w:rPr>
      </w:pPr>
    </w:p>
    <w:p w:rsidR="00CB7F6F" w:rsidRPr="00CB7F6F" w:rsidRDefault="00CB7F6F" w:rsidP="00CB7F6F">
      <w:pPr>
        <w:rPr>
          <w:rFonts w:cs="Arial"/>
        </w:rPr>
      </w:pPr>
      <w:r w:rsidRPr="00CB7F6F">
        <w:rPr>
          <w:rFonts w:cs="Arial"/>
        </w:rPr>
        <w:t xml:space="preserve">Clearly, assessing and potentially abating all pensions in payment would be administratively impossible without significant additional resource and, given the average pension in payment described above, it would seem that the additional work would be without material financial gain to the Fund. It could also be confusing, distressing and detrimental for thousands of mature local government workers currently undertaking low paid, part time roles to supplement their income.         </w:t>
      </w:r>
    </w:p>
    <w:p w:rsidR="00CB7F6F" w:rsidRPr="00CB7F6F" w:rsidRDefault="00CB7F6F" w:rsidP="00CB7F6F">
      <w:pPr>
        <w:rPr>
          <w:rFonts w:cs="Arial"/>
        </w:rPr>
      </w:pPr>
    </w:p>
    <w:p w:rsidR="00CB7F6F" w:rsidRPr="00CB7F6F" w:rsidRDefault="00CB7F6F" w:rsidP="00CB7F6F">
      <w:pPr>
        <w:spacing w:after="200"/>
        <w:rPr>
          <w:rFonts w:cs="Arial"/>
        </w:rPr>
      </w:pPr>
      <w:r w:rsidRPr="00CB7F6F">
        <w:rPr>
          <w:rFonts w:cs="Arial"/>
        </w:rPr>
        <w:t xml:space="preserve">However, it would be possible to develop an abatement policy which would affect only certain pensioners such as former high earners, by using an annual pension threshold where for example only annual pensions exceeding £30,000* would be subject to abatement. This would remove the issues involved in applying abatement indiscriminately but would serve to mitigate reputational risk in terms of paying out pensions to former high earning local government employees who potentially retire with unreduced pension benefits and immediately secure further employment with another local government organisation i.e. the so called 'double-dippers'. </w:t>
      </w:r>
    </w:p>
    <w:p w:rsidR="00CB7F6F" w:rsidRPr="00CB7F6F" w:rsidRDefault="00CB7F6F" w:rsidP="00CB7F6F">
      <w:pPr>
        <w:spacing w:after="200"/>
        <w:rPr>
          <w:rFonts w:cs="Arial"/>
          <w:i/>
        </w:rPr>
      </w:pPr>
      <w:r w:rsidRPr="00CB7F6F">
        <w:rPr>
          <w:rFonts w:cs="Arial"/>
          <w:i/>
          <w:sz w:val="22"/>
          <w:szCs w:val="22"/>
        </w:rPr>
        <w:t xml:space="preserve">*there are currently 385 pensioners receiving a pension </w:t>
      </w:r>
      <w:proofErr w:type="gramStart"/>
      <w:r w:rsidRPr="00CB7F6F">
        <w:rPr>
          <w:rFonts w:cs="Arial"/>
          <w:i/>
          <w:sz w:val="22"/>
          <w:szCs w:val="22"/>
        </w:rPr>
        <w:t>of  at</w:t>
      </w:r>
      <w:proofErr w:type="gramEnd"/>
      <w:r w:rsidRPr="00CB7F6F">
        <w:rPr>
          <w:rFonts w:cs="Arial"/>
          <w:i/>
          <w:sz w:val="22"/>
          <w:szCs w:val="22"/>
        </w:rPr>
        <w:t xml:space="preserve"> least £30,000 per annum, whose average  salary at retirement was £68,000. </w:t>
      </w:r>
      <w:r w:rsidRPr="00CB7F6F">
        <w:rPr>
          <w:rFonts w:cs="Arial"/>
          <w:i/>
        </w:rPr>
        <w:t xml:space="preserve">    </w:t>
      </w:r>
    </w:p>
    <w:p w:rsidR="00CB7F6F" w:rsidRPr="00CB7F6F" w:rsidRDefault="00CB7F6F" w:rsidP="00CB7F6F">
      <w:pPr>
        <w:rPr>
          <w:rFonts w:cs="Arial"/>
          <w:b/>
        </w:rPr>
      </w:pPr>
      <w:r w:rsidRPr="00CB7F6F">
        <w:rPr>
          <w:rFonts w:cs="Arial"/>
          <w:b/>
        </w:rPr>
        <w:t>Recommendation</w:t>
      </w:r>
    </w:p>
    <w:p w:rsidR="00CB7F6F" w:rsidRPr="00CB7F6F" w:rsidRDefault="00CB7F6F" w:rsidP="00CB7F6F">
      <w:pPr>
        <w:rPr>
          <w:rFonts w:cs="Arial"/>
        </w:rPr>
      </w:pPr>
    </w:p>
    <w:p w:rsidR="00CB7F6F" w:rsidRPr="00CB7F6F" w:rsidRDefault="00CB7F6F" w:rsidP="00CB7F6F">
      <w:pPr>
        <w:rPr>
          <w:rFonts w:cs="Arial"/>
        </w:rPr>
      </w:pPr>
      <w:r w:rsidRPr="00CB7F6F">
        <w:rPr>
          <w:rFonts w:cs="Arial"/>
        </w:rPr>
        <w:t>That a policy be adopted where</w:t>
      </w:r>
    </w:p>
    <w:p w:rsidR="00CB7F6F" w:rsidRPr="00CB7F6F" w:rsidRDefault="00CB7F6F" w:rsidP="00CB7F6F">
      <w:pPr>
        <w:rPr>
          <w:rFonts w:cs="Arial"/>
        </w:rPr>
      </w:pPr>
    </w:p>
    <w:p w:rsidR="00CB7F6F" w:rsidRPr="00CB7F6F" w:rsidRDefault="00CB7F6F" w:rsidP="00CB7F6F">
      <w:pPr>
        <w:pStyle w:val="ListParagraph"/>
        <w:numPr>
          <w:ilvl w:val="0"/>
          <w:numId w:val="1"/>
        </w:numPr>
        <w:spacing w:after="200"/>
        <w:rPr>
          <w:rFonts w:cs="Arial"/>
        </w:rPr>
      </w:pPr>
      <w:r w:rsidRPr="00CB7F6F">
        <w:rPr>
          <w:rFonts w:cs="Arial"/>
        </w:rPr>
        <w:t xml:space="preserve">Abatement is applied to all pensions in payment where the annual pension (not including any AVC element) exceeds £30,000 (to be increased each year in line with inflation).   </w:t>
      </w:r>
    </w:p>
    <w:p w:rsidR="00CB7F6F" w:rsidRPr="00CB7F6F" w:rsidRDefault="00CB7F6F" w:rsidP="00CB7F6F">
      <w:pPr>
        <w:pStyle w:val="ListParagraph"/>
        <w:rPr>
          <w:rFonts w:cs="Arial"/>
        </w:rPr>
      </w:pPr>
    </w:p>
    <w:p w:rsidR="00CB7F6F" w:rsidRPr="00CB7F6F" w:rsidRDefault="00CB7F6F" w:rsidP="00CB7F6F">
      <w:pPr>
        <w:pStyle w:val="ListParagraph"/>
        <w:numPr>
          <w:ilvl w:val="0"/>
          <w:numId w:val="1"/>
        </w:numPr>
        <w:spacing w:after="200"/>
        <w:rPr>
          <w:rFonts w:cs="Arial"/>
        </w:rPr>
      </w:pPr>
      <w:r w:rsidRPr="00CB7F6F">
        <w:rPr>
          <w:rFonts w:cs="Arial"/>
        </w:rPr>
        <w:t>Ill–health pensions continue to be abated.</w:t>
      </w:r>
    </w:p>
    <w:p w:rsidR="00CB7F6F" w:rsidRPr="00CB7F6F" w:rsidRDefault="00CB7F6F" w:rsidP="00CB7F6F">
      <w:pPr>
        <w:pStyle w:val="ListParagraph"/>
        <w:rPr>
          <w:rFonts w:cs="Arial"/>
        </w:rPr>
      </w:pPr>
    </w:p>
    <w:p w:rsidR="00CB7F6F" w:rsidRPr="00CB7F6F" w:rsidRDefault="00CB7F6F" w:rsidP="00CB7F6F">
      <w:pPr>
        <w:spacing w:after="200"/>
        <w:ind w:left="360"/>
        <w:rPr>
          <w:rFonts w:cs="Arial"/>
        </w:rPr>
      </w:pPr>
      <w:r w:rsidRPr="00CB7F6F">
        <w:rPr>
          <w:rFonts w:cs="Arial"/>
        </w:rPr>
        <w:t xml:space="preserve">NB if approved, the revised policy would apply to all pensions in payment. It is proposed that assessments will </w:t>
      </w:r>
      <w:bookmarkStart w:id="0" w:name="_GoBack"/>
      <w:bookmarkEnd w:id="0"/>
      <w:r w:rsidRPr="00CB7F6F">
        <w:rPr>
          <w:rFonts w:cs="Arial"/>
        </w:rPr>
        <w:t>first be undertaken with effect from 1 April 2016 relating to the 2016/17 financial year.</w:t>
      </w:r>
    </w:p>
    <w:p w:rsidR="00CB7F6F" w:rsidRPr="00CB7F6F" w:rsidRDefault="00CB7F6F" w:rsidP="00CB7F6F">
      <w:pPr>
        <w:rPr>
          <w:rFonts w:cs="Arial"/>
        </w:rPr>
      </w:pPr>
      <w:r w:rsidRPr="00CB7F6F">
        <w:rPr>
          <w:rFonts w:cs="Arial"/>
        </w:rPr>
        <w:t xml:space="preserve"> </w:t>
      </w: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p w:rsidR="00CB7F6F" w:rsidRPr="00CB7F6F" w:rsidRDefault="00CB7F6F" w:rsidP="00CB7F6F">
      <w:pPr>
        <w:rPr>
          <w:rFonts w:cs="Arial"/>
        </w:rPr>
      </w:pPr>
    </w:p>
    <w:sectPr w:rsidR="00CB7F6F" w:rsidRPr="00CB7F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6F" w:rsidRDefault="00CB7F6F" w:rsidP="00CB7F6F">
      <w:r>
        <w:separator/>
      </w:r>
    </w:p>
  </w:endnote>
  <w:endnote w:type="continuationSeparator" w:id="0">
    <w:p w:rsidR="00CB7F6F" w:rsidRDefault="00CB7F6F" w:rsidP="00CB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6" w:rsidRDefault="00E40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6" w:rsidRDefault="00E40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6" w:rsidRDefault="00E40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6F" w:rsidRDefault="00CB7F6F" w:rsidP="00CB7F6F">
      <w:r>
        <w:separator/>
      </w:r>
    </w:p>
  </w:footnote>
  <w:footnote w:type="continuationSeparator" w:id="0">
    <w:p w:rsidR="00CB7F6F" w:rsidRDefault="00CB7F6F" w:rsidP="00CB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6" w:rsidRDefault="00E40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6F" w:rsidRPr="00E40D86" w:rsidRDefault="00CB7F6F" w:rsidP="00CB7F6F">
    <w:pPr>
      <w:pStyle w:val="Default"/>
      <w:ind w:left="6480"/>
      <w:rPr>
        <w:b/>
      </w:rPr>
    </w:pPr>
    <w:r w:rsidRPr="00E40D86">
      <w:rPr>
        <w:b/>
      </w:rPr>
      <w:t xml:space="preserve">Appendix </w:t>
    </w:r>
    <w:r w:rsidR="00E40D86">
      <w:rPr>
        <w:b/>
      </w:rPr>
      <w:t>'</w:t>
    </w:r>
    <w:r w:rsidRPr="00E40D86">
      <w:rPr>
        <w:b/>
      </w:rPr>
      <w:t>A</w:t>
    </w:r>
    <w:r w:rsidR="00E40D86">
      <w:rPr>
        <w:b/>
      </w:rPr>
      <w:t>'</w:t>
    </w:r>
    <w:r w:rsidRPr="00E40D86">
      <w:rPr>
        <w:b/>
      </w:rPr>
      <w:t xml:space="preserve"> </w:t>
    </w:r>
  </w:p>
  <w:p w:rsidR="00CB7F6F" w:rsidRDefault="00CB7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6" w:rsidRDefault="00E40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7346E5"/>
    <w:multiLevelType w:val="hybridMultilevel"/>
    <w:tmpl w:val="80163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8B33F3"/>
    <w:multiLevelType w:val="hybridMultilevel"/>
    <w:tmpl w:val="51A82AE4"/>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4">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nsid w:val="48C7409D"/>
    <w:multiLevelType w:val="hybridMultilevel"/>
    <w:tmpl w:val="975052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2"/>
  </w:num>
  <w:num w:numId="6">
    <w:abstractNumId w:val="9"/>
  </w:num>
  <w:num w:numId="7">
    <w:abstractNumId w:val="1"/>
  </w:num>
  <w:num w:numId="8">
    <w:abstractNumId w:val="5"/>
  </w:num>
  <w:num w:numId="9">
    <w:abstractNumId w:val="6"/>
  </w:num>
  <w:num w:numId="10">
    <w:abstractNumId w:val="10"/>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6F"/>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DBF"/>
    <w:rsid w:val="001042FF"/>
    <w:rsid w:val="00110C30"/>
    <w:rsid w:val="00115375"/>
    <w:rsid w:val="00117ED7"/>
    <w:rsid w:val="00130B59"/>
    <w:rsid w:val="001330DF"/>
    <w:rsid w:val="00141C8D"/>
    <w:rsid w:val="00143944"/>
    <w:rsid w:val="00152DA7"/>
    <w:rsid w:val="0016415F"/>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B7F6F"/>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0D86"/>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17056F-C3BD-47BB-ABFC-A196C22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6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6F"/>
    <w:pPr>
      <w:ind w:left="720"/>
      <w:contextualSpacing/>
    </w:pPr>
    <w:rPr>
      <w:szCs w:val="24"/>
    </w:rPr>
  </w:style>
  <w:style w:type="paragraph" w:customStyle="1" w:styleId="Default">
    <w:name w:val="Default"/>
    <w:rsid w:val="00CB7F6F"/>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B7F6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6F"/>
    <w:pPr>
      <w:tabs>
        <w:tab w:val="center" w:pos="4513"/>
        <w:tab w:val="right" w:pos="9026"/>
      </w:tabs>
    </w:pPr>
  </w:style>
  <w:style w:type="character" w:customStyle="1" w:styleId="HeaderChar">
    <w:name w:val="Header Char"/>
    <w:basedOn w:val="DefaultParagraphFont"/>
    <w:link w:val="Header"/>
    <w:uiPriority w:val="99"/>
    <w:rsid w:val="00CB7F6F"/>
    <w:rPr>
      <w:rFonts w:ascii="Arial" w:hAnsi="Arial"/>
      <w:sz w:val="24"/>
    </w:rPr>
  </w:style>
  <w:style w:type="paragraph" w:styleId="Footer">
    <w:name w:val="footer"/>
    <w:basedOn w:val="Normal"/>
    <w:link w:val="FooterChar"/>
    <w:uiPriority w:val="99"/>
    <w:unhideWhenUsed/>
    <w:rsid w:val="00CB7F6F"/>
    <w:pPr>
      <w:tabs>
        <w:tab w:val="center" w:pos="4513"/>
        <w:tab w:val="right" w:pos="9026"/>
      </w:tabs>
    </w:pPr>
  </w:style>
  <w:style w:type="character" w:customStyle="1" w:styleId="FooterChar">
    <w:name w:val="Footer Char"/>
    <w:basedOn w:val="DefaultParagraphFont"/>
    <w:link w:val="Footer"/>
    <w:uiPriority w:val="99"/>
    <w:rsid w:val="00CB7F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3</cp:revision>
  <dcterms:created xsi:type="dcterms:W3CDTF">2015-05-21T10:29:00Z</dcterms:created>
  <dcterms:modified xsi:type="dcterms:W3CDTF">2015-05-21T16:05:00Z</dcterms:modified>
</cp:coreProperties>
</file>